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F65DB1" w:rsidRDefault="00815260" w:rsidP="00F3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6D0B" w:rsidRPr="00F65DB1" w:rsidRDefault="00C376A0" w:rsidP="00F368C9">
      <w:pPr>
        <w:jc w:val="both"/>
        <w:rPr>
          <w:rFonts w:ascii="Calibri" w:hAnsi="Calibri" w:cs="Calibri"/>
          <w:b/>
          <w:sz w:val="22"/>
          <w:szCs w:val="22"/>
        </w:rPr>
      </w:pPr>
      <w:r w:rsidRPr="00F65DB1">
        <w:rPr>
          <w:rFonts w:asciiTheme="minorHAnsi" w:hAnsiTheme="minorHAnsi" w:cstheme="minorHAnsi"/>
          <w:b/>
          <w:sz w:val="22"/>
          <w:szCs w:val="22"/>
        </w:rPr>
        <w:t>Processo n.</w:t>
      </w:r>
      <w:r w:rsidR="009567A9" w:rsidRPr="00F65D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5DB1" w:rsidRPr="00F65DB1">
        <w:rPr>
          <w:rFonts w:ascii="Calibri" w:hAnsi="Calibri" w:cs="Calibri"/>
          <w:b/>
          <w:sz w:val="22"/>
          <w:szCs w:val="22"/>
        </w:rPr>
        <w:t>583758/2010.</w:t>
      </w:r>
    </w:p>
    <w:p w:rsidR="000D22BD" w:rsidRPr="00F65DB1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5DB1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302EDE" w:rsidRPr="00F65DB1">
        <w:rPr>
          <w:rFonts w:asciiTheme="minorHAnsi" w:hAnsiTheme="minorHAnsi" w:cstheme="minorHAnsi"/>
          <w:b/>
          <w:sz w:val="22"/>
          <w:szCs w:val="22"/>
        </w:rPr>
        <w:t>–</w:t>
      </w:r>
      <w:r w:rsidR="008E253E" w:rsidRPr="00F65D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5DB1" w:rsidRPr="00F65DB1">
        <w:rPr>
          <w:rFonts w:ascii="Calibri" w:hAnsi="Calibri" w:cs="Calibri"/>
          <w:b/>
          <w:sz w:val="22"/>
          <w:szCs w:val="22"/>
        </w:rPr>
        <w:t xml:space="preserve">Frederico Camargo </w:t>
      </w:r>
      <w:proofErr w:type="spellStart"/>
      <w:r w:rsidR="00F65DB1" w:rsidRPr="00F65DB1">
        <w:rPr>
          <w:rFonts w:ascii="Calibri" w:hAnsi="Calibri" w:cs="Calibri"/>
          <w:b/>
          <w:sz w:val="22"/>
          <w:szCs w:val="22"/>
        </w:rPr>
        <w:t>Quintiliano</w:t>
      </w:r>
      <w:proofErr w:type="spellEnd"/>
      <w:r w:rsidR="00F65DB1" w:rsidRPr="00F65DB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65DB1" w:rsidRPr="00F65DB1">
        <w:rPr>
          <w:rFonts w:ascii="Calibri" w:hAnsi="Calibri" w:cs="Calibri"/>
          <w:b/>
          <w:sz w:val="22"/>
          <w:szCs w:val="22"/>
        </w:rPr>
        <w:t>Pessine</w:t>
      </w:r>
      <w:proofErr w:type="spellEnd"/>
      <w:r w:rsidR="00F65DB1" w:rsidRPr="00F65DB1">
        <w:rPr>
          <w:rFonts w:ascii="Calibri" w:hAnsi="Calibri" w:cs="Calibri"/>
          <w:b/>
          <w:sz w:val="22"/>
          <w:szCs w:val="22"/>
        </w:rPr>
        <w:t>.</w:t>
      </w:r>
    </w:p>
    <w:p w:rsidR="00DB77A0" w:rsidRPr="00F65DB1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F65DB1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F65DB1">
        <w:rPr>
          <w:rFonts w:asciiTheme="minorHAnsi" w:hAnsiTheme="minorHAnsi" w:cstheme="minorHAnsi"/>
          <w:sz w:val="22"/>
          <w:szCs w:val="22"/>
        </w:rPr>
        <w:t xml:space="preserve">ção n. </w:t>
      </w:r>
      <w:r w:rsidR="00F65DB1" w:rsidRPr="00F65DB1">
        <w:rPr>
          <w:rFonts w:ascii="Calibri" w:hAnsi="Calibri" w:cs="Calibri"/>
          <w:sz w:val="22"/>
          <w:szCs w:val="22"/>
        </w:rPr>
        <w:t>125199, de 28/07/2010</w:t>
      </w:r>
      <w:r w:rsidR="00F65DB1" w:rsidRPr="00F65DB1">
        <w:rPr>
          <w:rFonts w:asciiTheme="minorHAnsi" w:hAnsiTheme="minorHAnsi" w:cstheme="minorHAnsi"/>
          <w:sz w:val="22"/>
          <w:szCs w:val="22"/>
        </w:rPr>
        <w:t>.</w:t>
      </w:r>
    </w:p>
    <w:p w:rsidR="00F65DB1" w:rsidRPr="00F65DB1" w:rsidRDefault="00F65DB1" w:rsidP="00CB6D0B">
      <w:pPr>
        <w:jc w:val="both"/>
        <w:rPr>
          <w:rFonts w:ascii="Calibri" w:hAnsi="Calibri" w:cs="Calibri"/>
          <w:sz w:val="22"/>
          <w:szCs w:val="22"/>
        </w:rPr>
      </w:pPr>
      <w:r w:rsidRPr="00F65DB1">
        <w:rPr>
          <w:rFonts w:ascii="Calibri" w:hAnsi="Calibri" w:cs="Calibri"/>
          <w:sz w:val="22"/>
          <w:szCs w:val="22"/>
        </w:rPr>
        <w:t>Relatora – Melissa Scarlet Ribeiro Domingos</w:t>
      </w:r>
      <w:r w:rsidR="00F46621">
        <w:rPr>
          <w:rFonts w:ascii="Calibri" w:hAnsi="Calibri" w:cs="Calibri"/>
          <w:sz w:val="22"/>
          <w:szCs w:val="22"/>
        </w:rPr>
        <w:t xml:space="preserve"> - OPAN</w:t>
      </w:r>
      <w:r w:rsidRPr="00F65DB1">
        <w:rPr>
          <w:rFonts w:ascii="Calibri" w:hAnsi="Calibri" w:cs="Calibri"/>
          <w:sz w:val="22"/>
          <w:szCs w:val="22"/>
        </w:rPr>
        <w:t>.</w:t>
      </w:r>
    </w:p>
    <w:p w:rsidR="00B92912" w:rsidRPr="00F65DB1" w:rsidRDefault="00CD2CDB" w:rsidP="00F65DB1">
      <w:pPr>
        <w:jc w:val="both"/>
        <w:rPr>
          <w:rFonts w:ascii="Calibri" w:hAnsi="Calibri" w:cs="Calibri"/>
          <w:sz w:val="22"/>
          <w:szCs w:val="22"/>
        </w:rPr>
      </w:pPr>
      <w:r w:rsidRPr="00F65DB1">
        <w:rPr>
          <w:rFonts w:ascii="Calibri" w:hAnsi="Calibri" w:cs="Calibri"/>
          <w:sz w:val="22"/>
          <w:szCs w:val="22"/>
        </w:rPr>
        <w:t xml:space="preserve">Advogado - </w:t>
      </w:r>
      <w:r w:rsidR="00F65DB1" w:rsidRPr="00F65DB1">
        <w:rPr>
          <w:rFonts w:ascii="Calibri" w:hAnsi="Calibri" w:cs="Calibri"/>
          <w:sz w:val="22"/>
          <w:szCs w:val="22"/>
        </w:rPr>
        <w:t>Marcelo Segura – OAB/MT 4.722-A</w:t>
      </w:r>
      <w:r w:rsidR="00F65DB1">
        <w:rPr>
          <w:rFonts w:ascii="Calibri" w:hAnsi="Calibri" w:cs="Calibri"/>
          <w:sz w:val="22"/>
          <w:szCs w:val="22"/>
        </w:rPr>
        <w:t>.</w:t>
      </w:r>
    </w:p>
    <w:p w:rsidR="00F65DB1" w:rsidRDefault="00A25E2C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CD2CDB">
        <w:rPr>
          <w:rFonts w:asciiTheme="minorHAnsi" w:hAnsiTheme="minorHAnsi" w:cstheme="minorHAnsi"/>
          <w:sz w:val="22"/>
          <w:szCs w:val="22"/>
        </w:rPr>
        <w:t>1</w:t>
      </w:r>
      <w:r w:rsidR="00427633" w:rsidRPr="00CD2CDB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CD2CDB">
        <w:rPr>
          <w:rFonts w:asciiTheme="minorHAnsi" w:hAnsiTheme="minorHAnsi" w:cstheme="minorHAnsi"/>
          <w:sz w:val="22"/>
          <w:szCs w:val="22"/>
        </w:rPr>
        <w:t>.</w:t>
      </w:r>
    </w:p>
    <w:p w:rsidR="00B51A4C" w:rsidRDefault="0028055D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287</w:t>
      </w:r>
      <w:r w:rsidR="007B32E0" w:rsidRPr="00B51A4C">
        <w:rPr>
          <w:rFonts w:asciiTheme="minorHAnsi" w:hAnsiTheme="minorHAnsi" w:cstheme="minorHAnsi"/>
          <w:b/>
          <w:sz w:val="21"/>
          <w:szCs w:val="21"/>
        </w:rPr>
        <w:t>/2021</w:t>
      </w:r>
    </w:p>
    <w:p w:rsidR="00B92912" w:rsidRPr="00CB6D0B" w:rsidRDefault="00B92912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D2CDB" w:rsidRPr="00F65DB1" w:rsidRDefault="00F65DB1" w:rsidP="00CD2CDB">
      <w:pPr>
        <w:jc w:val="both"/>
        <w:rPr>
          <w:rFonts w:ascii="Calibri" w:hAnsi="Calibri" w:cs="Calibri"/>
          <w:sz w:val="22"/>
          <w:szCs w:val="22"/>
        </w:rPr>
      </w:pPr>
      <w:r w:rsidRPr="00F65DB1">
        <w:rPr>
          <w:rFonts w:ascii="Calibri" w:hAnsi="Calibri" w:cs="Calibri"/>
          <w:sz w:val="22"/>
          <w:szCs w:val="22"/>
        </w:rPr>
        <w:t xml:space="preserve">Auto de Infração n° 125199, de 28/07/2010. Auto de Inspeção n° 144453, de 28/07/2010. Relatório Técnico n° 00521/SUF/CFFUC/SEMA/2010. Por fazer uso de fogo em 73,74 há sem autorização do órgão ambiental competente, conforme auto de inspeção n° 144453. Decisão Administrativa n° 1771/SPA/SEMA/2018, de 20/08/2018, pela homologação do Auto de Infração n° 125199, de 28/07/2010, arbitrando a multa no valor de R$ 73.740,00 (setenta e três mil, setecentos e quarenta reais) com fulcro no artigo 58 do Decreto Federal n° 6514/2008. Requer o recorrente que seja anulada a decisão atacada, proferindo outra, apreciando todas as da defesa primária e seus respectivos pedidos, robustecido pelos demais fatos e fundamentos ressaltados – se necessário – afastando os efeitos do despacho de fl. 60- porque enificaz, impertinente/intempestivo – declarando nulo o AI e tudo o mais que dele decorre – principalmente do Termo de Embargo. Sucessivamente, na forma do artigo 326 do CPC. A convolação da pena pecuniária em advertência; ad cautelam, acaso mantida a pena pecuniária, seja reduzida para o mínimo, em razão da primariedade, inexistência de agravante, também atentos ao dato de que a recorrente é vítima da ação de meliantes, e, em derradeiro, a conversão da multa, qualquer que seja, o valor, em prestação de serviços e/ou a redução de 90%. </w:t>
      </w:r>
      <w:r w:rsidR="00DF6FB7" w:rsidRPr="00F65DB1">
        <w:rPr>
          <w:rFonts w:ascii="Calibri" w:hAnsi="Calibri" w:cs="Calibri"/>
          <w:sz w:val="22"/>
          <w:szCs w:val="22"/>
        </w:rPr>
        <w:t>Recurso provido.</w:t>
      </w:r>
    </w:p>
    <w:p w:rsidR="008C7C37" w:rsidRPr="00FB4B3F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FB4B3F" w:rsidRDefault="0064387A" w:rsidP="00B51A4C">
      <w:pPr>
        <w:jc w:val="both"/>
        <w:rPr>
          <w:rFonts w:ascii="Calibri" w:hAnsi="Calibri" w:cs="Calibri"/>
          <w:sz w:val="22"/>
          <w:szCs w:val="22"/>
        </w:rPr>
      </w:pPr>
      <w:r w:rsidRPr="00FB4B3F">
        <w:rPr>
          <w:rFonts w:ascii="Calibri" w:hAnsi="Calibri" w:cs="Calibri"/>
          <w:sz w:val="22"/>
          <w:szCs w:val="22"/>
        </w:rPr>
        <w:t>Vistos, relatados e discutidos, decidiram os</w:t>
      </w:r>
      <w:r w:rsidR="00A25E2C" w:rsidRPr="00FB4B3F">
        <w:rPr>
          <w:rFonts w:ascii="Calibri" w:hAnsi="Calibri" w:cs="Calibri"/>
          <w:sz w:val="22"/>
          <w:szCs w:val="22"/>
        </w:rPr>
        <w:t xml:space="preserve"> membros da 1</w:t>
      </w:r>
      <w:r w:rsidRPr="00FB4B3F">
        <w:rPr>
          <w:rFonts w:ascii="Calibri" w:hAnsi="Calibri" w:cs="Calibri"/>
          <w:sz w:val="22"/>
          <w:szCs w:val="22"/>
        </w:rPr>
        <w:t xml:space="preserve">ª Junta de Julgamento de </w:t>
      </w:r>
      <w:r w:rsidR="00821E2E" w:rsidRPr="00FB4B3F">
        <w:rPr>
          <w:rFonts w:ascii="Calibri" w:hAnsi="Calibri" w:cs="Calibri"/>
          <w:sz w:val="22"/>
          <w:szCs w:val="22"/>
        </w:rPr>
        <w:t>Recursos,</w:t>
      </w:r>
      <w:r w:rsidR="0028055D" w:rsidRPr="00FB4B3F">
        <w:rPr>
          <w:rFonts w:ascii="Calibri" w:hAnsi="Calibri" w:cs="Calibri"/>
          <w:sz w:val="22"/>
          <w:szCs w:val="22"/>
        </w:rPr>
        <w:t xml:space="preserve"> </w:t>
      </w:r>
      <w:r w:rsidR="00F65DB1" w:rsidRPr="00FB4B3F">
        <w:rPr>
          <w:rFonts w:ascii="Calibri" w:hAnsi="Calibri" w:cs="Calibri"/>
          <w:sz w:val="22"/>
          <w:szCs w:val="22"/>
        </w:rPr>
        <w:t>por unanimidade, dar provimento ao recurso inte</w:t>
      </w:r>
      <w:r w:rsidR="003949CA" w:rsidRPr="00FB4B3F">
        <w:rPr>
          <w:rFonts w:ascii="Calibri" w:hAnsi="Calibri" w:cs="Calibri"/>
          <w:sz w:val="22"/>
          <w:szCs w:val="22"/>
        </w:rPr>
        <w:t xml:space="preserve">rposto pelo recorrente, acolhendo </w:t>
      </w:r>
      <w:r w:rsidR="00F65DB1" w:rsidRPr="00FB4B3F">
        <w:rPr>
          <w:rFonts w:ascii="Calibri" w:hAnsi="Calibri" w:cs="Calibri"/>
          <w:sz w:val="22"/>
          <w:szCs w:val="22"/>
        </w:rPr>
        <w:t xml:space="preserve">o voto da </w:t>
      </w:r>
      <w:r w:rsidR="003949CA" w:rsidRPr="00FB4B3F">
        <w:rPr>
          <w:rFonts w:ascii="Calibri" w:hAnsi="Calibri" w:cs="Calibri"/>
          <w:sz w:val="22"/>
          <w:szCs w:val="22"/>
        </w:rPr>
        <w:t>relatora,</w:t>
      </w:r>
      <w:r w:rsidR="00FB4B3F" w:rsidRPr="00FB4B3F">
        <w:rPr>
          <w:rFonts w:ascii="Calibri" w:hAnsi="Calibri" w:cs="Calibri"/>
          <w:sz w:val="22"/>
          <w:szCs w:val="22"/>
        </w:rPr>
        <w:t xml:space="preserve"> reconhecendo a prescrição intercorrente das Alegações Finais, de 07/11/2011, (fl. 46/57) até o Despacho da Sema, de 01/07/2016, (fl. 60). </w:t>
      </w:r>
      <w:r w:rsidR="00F65DB1" w:rsidRPr="00FB4B3F">
        <w:rPr>
          <w:rFonts w:ascii="Calibri" w:hAnsi="Calibri" w:cs="Calibri"/>
          <w:sz w:val="22"/>
          <w:szCs w:val="22"/>
        </w:rPr>
        <w:t xml:space="preserve">Assim, </w:t>
      </w:r>
      <w:r w:rsidR="00FB4B3F" w:rsidRPr="00FB4B3F">
        <w:rPr>
          <w:rFonts w:ascii="Calibri" w:hAnsi="Calibri" w:cs="Calibri"/>
          <w:sz w:val="22"/>
          <w:szCs w:val="22"/>
        </w:rPr>
        <w:t xml:space="preserve">decidimos </w:t>
      </w:r>
      <w:r w:rsidR="00F65DB1" w:rsidRPr="00FB4B3F">
        <w:rPr>
          <w:rFonts w:ascii="Calibri" w:hAnsi="Calibri" w:cs="Calibri"/>
          <w:sz w:val="22"/>
          <w:szCs w:val="22"/>
        </w:rPr>
        <w:t>com base no que preceitua o art. 3°, IX da Lei Complementar 38/95, bem como art. 43 c/c 60, I do Decreto Federal 6.514/2008, votamos pela prescrição intercorrente do processo administrativo, e, consequente arquivamento da decisão administrativa.</w:t>
      </w:r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7B05DA" w:rsidRPr="00B80E62" w:rsidRDefault="007B05DA" w:rsidP="007B05D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GUARDIÕES DA TERRA</w:t>
      </w:r>
    </w:p>
    <w:p w:rsidR="00A25E2C" w:rsidRPr="00F208E6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FETIEMT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25E2C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  <w:bookmarkStart w:id="0" w:name="_GoBack"/>
      <w:bookmarkEnd w:id="0"/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B51A4C" w:rsidRPr="00497A32" w:rsidRDefault="00B51A4C" w:rsidP="00A25E2C">
      <w:pPr>
        <w:jc w:val="both"/>
        <w:rPr>
          <w:rFonts w:ascii="Calibri" w:hAnsi="Calibri" w:cs="Calibri"/>
          <w:b/>
          <w:sz w:val="22"/>
          <w:szCs w:val="22"/>
        </w:rPr>
      </w:pPr>
      <w:r w:rsidRPr="00497A3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97A3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97A3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51A4C" w:rsidRPr="005302AA" w:rsidRDefault="00B51A4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7D4994" w:rsidRPr="007D4994" w:rsidRDefault="00CB770A" w:rsidP="00C3525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A25E2C">
        <w:rPr>
          <w:rFonts w:ascii="Calibri" w:hAnsi="Calibri" w:cs="Calibri"/>
          <w:sz w:val="22"/>
          <w:szCs w:val="22"/>
        </w:rPr>
        <w:t>04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F65DB1" w:rsidRPr="000F59E4" w:rsidRDefault="00F65DB1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C06658" w:rsidRPr="00A25E2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25E2C">
        <w:rPr>
          <w:rFonts w:ascii="Calibri" w:hAnsi="Calibri" w:cs="Calibri"/>
          <w:b/>
          <w:sz w:val="22"/>
          <w:szCs w:val="22"/>
        </w:rPr>
        <w:t xml:space="preserve">Presidente da </w:t>
      </w:r>
      <w:r w:rsidR="00A25E2C">
        <w:rPr>
          <w:rFonts w:ascii="Calibri" w:hAnsi="Calibri" w:cs="Calibri"/>
          <w:b/>
          <w:sz w:val="22"/>
          <w:szCs w:val="22"/>
        </w:rPr>
        <w:t>1</w:t>
      </w:r>
      <w:r w:rsidR="00CB770A" w:rsidRPr="00A25E2C">
        <w:rPr>
          <w:rFonts w:ascii="Calibri" w:hAnsi="Calibri" w:cs="Calibri"/>
          <w:b/>
          <w:sz w:val="22"/>
          <w:szCs w:val="22"/>
        </w:rPr>
        <w:t>ª J.J.R.</w:t>
      </w:r>
    </w:p>
    <w:p w:rsidR="00A25E2C" w:rsidRPr="00A25E2C" w:rsidRDefault="00A25E2C" w:rsidP="00A25E2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25E2C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A25E2C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E82C1C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055D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0D36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27E4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49CA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97A32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76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6F4F"/>
    <w:rsid w:val="005B7B6E"/>
    <w:rsid w:val="005C2B41"/>
    <w:rsid w:val="005C62B0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D9E"/>
    <w:rsid w:val="007A6E53"/>
    <w:rsid w:val="007B05DA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994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5C1C"/>
    <w:rsid w:val="0087026A"/>
    <w:rsid w:val="008718CE"/>
    <w:rsid w:val="00875870"/>
    <w:rsid w:val="00877DE4"/>
    <w:rsid w:val="0088050C"/>
    <w:rsid w:val="00881788"/>
    <w:rsid w:val="00883252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5E2C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1A4C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2912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6D0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2CDB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6FB7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621"/>
    <w:rsid w:val="00F46774"/>
    <w:rsid w:val="00F5625F"/>
    <w:rsid w:val="00F56768"/>
    <w:rsid w:val="00F61A90"/>
    <w:rsid w:val="00F65DB1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B3F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310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1AD7-F928-497C-9F41-8F680B17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2021-06-17T18:16:00Z</cp:lastPrinted>
  <dcterms:created xsi:type="dcterms:W3CDTF">2021-10-06T17:12:00Z</dcterms:created>
  <dcterms:modified xsi:type="dcterms:W3CDTF">2021-10-08T16:53:00Z</dcterms:modified>
</cp:coreProperties>
</file>